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D" w:rsidRPr="00631565" w:rsidRDefault="008D78BD" w:rsidP="008D78BD">
      <w:pPr>
        <w:pStyle w:val="NoSpacing"/>
        <w:jc w:val="center"/>
        <w:rPr>
          <w:sz w:val="36"/>
        </w:rPr>
      </w:pPr>
      <w:r w:rsidRPr="00631565">
        <w:rPr>
          <w:i/>
          <w:sz w:val="36"/>
        </w:rPr>
        <w:t>The Devil’s Arithmetic &amp; Silent to the Bone</w:t>
      </w:r>
    </w:p>
    <w:p w:rsidR="008D78BD" w:rsidRPr="00631565" w:rsidRDefault="008D78BD" w:rsidP="008D78BD">
      <w:pPr>
        <w:pStyle w:val="NoSpacing"/>
        <w:jc w:val="center"/>
        <w:rPr>
          <w:sz w:val="36"/>
        </w:rPr>
      </w:pPr>
      <w:r w:rsidRPr="00631565">
        <w:rPr>
          <w:sz w:val="36"/>
        </w:rPr>
        <w:t>Unit Plan</w:t>
      </w:r>
    </w:p>
    <w:p w:rsidR="008D78BD" w:rsidRPr="00631565" w:rsidRDefault="008D78BD" w:rsidP="008D78BD">
      <w:pPr>
        <w:pStyle w:val="NoSpacing"/>
        <w:rPr>
          <w:sz w:val="36"/>
        </w:rPr>
      </w:pPr>
    </w:p>
    <w:p w:rsidR="008D78BD" w:rsidRPr="00631565" w:rsidRDefault="008D78BD" w:rsidP="008D78BD">
      <w:pPr>
        <w:pStyle w:val="NoSpacing"/>
        <w:rPr>
          <w:color w:val="17365D" w:themeColor="text2" w:themeShade="BF"/>
          <w:sz w:val="36"/>
        </w:rPr>
      </w:pPr>
      <w:r w:rsidRPr="00631565">
        <w:rPr>
          <w:sz w:val="36"/>
        </w:rPr>
        <w:t xml:space="preserve">Key: </w:t>
      </w:r>
      <w:r w:rsidRPr="00631565">
        <w:rPr>
          <w:color w:val="17365D" w:themeColor="text2" w:themeShade="BF"/>
          <w:sz w:val="36"/>
        </w:rPr>
        <w:t xml:space="preserve">Silent to the Bone; </w:t>
      </w:r>
    </w:p>
    <w:p w:rsidR="008D78BD" w:rsidRPr="00631565" w:rsidRDefault="008D78BD" w:rsidP="008D78BD">
      <w:pPr>
        <w:pStyle w:val="NoSpacing"/>
        <w:rPr>
          <w:color w:val="FF0000"/>
          <w:sz w:val="36"/>
        </w:rPr>
      </w:pPr>
      <w:r w:rsidRPr="00631565">
        <w:rPr>
          <w:color w:val="FF0000"/>
          <w:sz w:val="36"/>
        </w:rPr>
        <w:t>Devil’s Arithmetic</w:t>
      </w:r>
    </w:p>
    <w:p w:rsidR="008D78BD" w:rsidRPr="00631565" w:rsidRDefault="008D78BD" w:rsidP="008D78BD">
      <w:pPr>
        <w:pStyle w:val="NoSpacing"/>
        <w:rPr>
          <w:sz w:val="36"/>
        </w:rPr>
      </w:pPr>
      <w:r w:rsidRPr="00631565">
        <w:rPr>
          <w:sz w:val="36"/>
        </w:rPr>
        <w:t>Vocabulary</w:t>
      </w:r>
    </w:p>
    <w:p w:rsidR="008D78BD" w:rsidRPr="00631565" w:rsidRDefault="008D78BD" w:rsidP="008D78BD">
      <w:pPr>
        <w:pStyle w:val="NoSpacing"/>
        <w:rPr>
          <w:sz w:val="36"/>
        </w:rPr>
      </w:pPr>
    </w:p>
    <w:p w:rsidR="00385B02" w:rsidRPr="00631565" w:rsidRDefault="00385B02" w:rsidP="008D78BD">
      <w:pPr>
        <w:pStyle w:val="NoSpacing"/>
        <w:rPr>
          <w:color w:val="17365D" w:themeColor="text2" w:themeShade="BF"/>
          <w:sz w:val="36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6768"/>
      </w:tblGrid>
      <w:tr w:rsidR="00385B02" w:rsidRPr="00631565" w:rsidTr="00385B02">
        <w:tc>
          <w:tcPr>
            <w:tcW w:w="6768" w:type="dxa"/>
          </w:tcPr>
          <w:p w:rsidR="00385B02" w:rsidRPr="00631565" w:rsidRDefault="00385B02" w:rsidP="008D78BD">
            <w:pPr>
              <w:pStyle w:val="NoSpacing"/>
              <w:rPr>
                <w:i/>
                <w:color w:val="17365D" w:themeColor="text2" w:themeShade="BF"/>
                <w:sz w:val="36"/>
              </w:rPr>
            </w:pPr>
            <w:r w:rsidRPr="00631565">
              <w:rPr>
                <w:i/>
                <w:color w:val="17365D" w:themeColor="text2" w:themeShade="BF"/>
                <w:sz w:val="36"/>
              </w:rPr>
              <w:t>Silent To the Bone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Important Dates: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December 23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rd</w:t>
            </w:r>
            <w:r w:rsidRPr="00631565">
              <w:rPr>
                <w:color w:val="17365D" w:themeColor="text2" w:themeShade="BF"/>
                <w:sz w:val="36"/>
              </w:rPr>
              <w:t xml:space="preserve"> 1-48 due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December 30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51-110 due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January 6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111-168 due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January 13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169-213 due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January 18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214-261 due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January 19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Timeline and Graphic Organizer due</w:t>
            </w:r>
          </w:p>
          <w:p w:rsidR="00385B02" w:rsidRPr="00631565" w:rsidRDefault="00385B02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January 20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Essay Planner due</w:t>
            </w:r>
          </w:p>
          <w:p w:rsidR="00385B02" w:rsidRPr="00631565" w:rsidRDefault="004378C6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January 28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th</w:t>
            </w:r>
            <w:r w:rsidRPr="00631565">
              <w:rPr>
                <w:color w:val="17365D" w:themeColor="text2" w:themeShade="BF"/>
                <w:sz w:val="36"/>
              </w:rPr>
              <w:t xml:space="preserve"> First Draft of Essay due</w:t>
            </w:r>
          </w:p>
          <w:p w:rsidR="004378C6" w:rsidRPr="00631565" w:rsidRDefault="004378C6" w:rsidP="008D78BD">
            <w:pPr>
              <w:pStyle w:val="NoSpacing"/>
              <w:rPr>
                <w:color w:val="17365D" w:themeColor="text2" w:themeShade="BF"/>
                <w:sz w:val="36"/>
              </w:rPr>
            </w:pPr>
            <w:r w:rsidRPr="00631565">
              <w:rPr>
                <w:color w:val="17365D" w:themeColor="text2" w:themeShade="BF"/>
                <w:sz w:val="36"/>
              </w:rPr>
              <w:t>February 2</w:t>
            </w:r>
            <w:r w:rsidRPr="00631565">
              <w:rPr>
                <w:color w:val="17365D" w:themeColor="text2" w:themeShade="BF"/>
                <w:sz w:val="36"/>
                <w:vertAlign w:val="superscript"/>
              </w:rPr>
              <w:t>nd</w:t>
            </w:r>
            <w:r w:rsidRPr="00631565">
              <w:rPr>
                <w:color w:val="17365D" w:themeColor="text2" w:themeShade="BF"/>
                <w:sz w:val="36"/>
              </w:rPr>
              <w:t xml:space="preserve"> Final Draft of Essay due</w:t>
            </w:r>
          </w:p>
        </w:tc>
        <w:tc>
          <w:tcPr>
            <w:tcW w:w="6768" w:type="dxa"/>
          </w:tcPr>
          <w:p w:rsidR="00385B02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Devil’s Arithmetic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January 21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st</w:t>
            </w:r>
            <w:r w:rsidRPr="00631565">
              <w:rPr>
                <w:i/>
                <w:color w:val="FF0000"/>
                <w:sz w:val="36"/>
              </w:rPr>
              <w:t xml:space="preserve"> Devils Arithmetic Test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January 21</w:t>
            </w:r>
            <w:r w:rsidRPr="00631565">
              <w:rPr>
                <w:i/>
                <w:color w:val="FF0000"/>
                <w:sz w:val="36"/>
                <w:vertAlign w:val="superscript"/>
              </w:rPr>
              <w:t xml:space="preserve">st </w:t>
            </w:r>
            <w:r w:rsidRPr="00631565">
              <w:rPr>
                <w:i/>
                <w:color w:val="FF0000"/>
                <w:sz w:val="36"/>
              </w:rPr>
              <w:t>&amp; January 24th Work on Essay Planner in class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January 25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th</w:t>
            </w:r>
            <w:r w:rsidRPr="00631565">
              <w:rPr>
                <w:i/>
                <w:color w:val="FF0000"/>
                <w:sz w:val="36"/>
              </w:rPr>
              <w:t xml:space="preserve"> &amp; 26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th</w:t>
            </w:r>
            <w:r w:rsidRPr="00631565">
              <w:rPr>
                <w:i/>
                <w:color w:val="FF0000"/>
                <w:sz w:val="36"/>
              </w:rPr>
              <w:t xml:space="preserve"> Work on 1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st</w:t>
            </w:r>
            <w:r w:rsidRPr="00631565">
              <w:rPr>
                <w:i/>
                <w:color w:val="FF0000"/>
                <w:sz w:val="36"/>
              </w:rPr>
              <w:t xml:space="preserve"> draft of essay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January 27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th</w:t>
            </w:r>
            <w:r w:rsidRPr="00631565">
              <w:rPr>
                <w:i/>
                <w:color w:val="FF0000"/>
                <w:sz w:val="36"/>
              </w:rPr>
              <w:t xml:space="preserve"> 1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st</w:t>
            </w:r>
            <w:r w:rsidRPr="00631565">
              <w:rPr>
                <w:i/>
                <w:color w:val="FF0000"/>
                <w:sz w:val="36"/>
              </w:rPr>
              <w:t xml:space="preserve"> draft of essay due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January 28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th</w:t>
            </w:r>
            <w:r w:rsidRPr="00631565">
              <w:rPr>
                <w:i/>
                <w:color w:val="FF0000"/>
                <w:sz w:val="36"/>
              </w:rPr>
              <w:t xml:space="preserve"> Peer Edit essay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January 29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th</w:t>
            </w:r>
            <w:r w:rsidRPr="00631565">
              <w:rPr>
                <w:i/>
                <w:color w:val="FF0000"/>
                <w:sz w:val="36"/>
              </w:rPr>
              <w:t xml:space="preserve"> Finalize Essay</w:t>
            </w:r>
          </w:p>
          <w:p w:rsidR="004378C6" w:rsidRPr="00631565" w:rsidRDefault="004378C6" w:rsidP="008D78BD">
            <w:pPr>
              <w:pStyle w:val="NoSpacing"/>
              <w:rPr>
                <w:i/>
                <w:color w:val="FF0000"/>
                <w:sz w:val="36"/>
              </w:rPr>
            </w:pPr>
            <w:r w:rsidRPr="00631565">
              <w:rPr>
                <w:i/>
                <w:color w:val="FF0000"/>
                <w:sz w:val="36"/>
              </w:rPr>
              <w:t>February 1</w:t>
            </w:r>
            <w:r w:rsidRPr="00631565">
              <w:rPr>
                <w:i/>
                <w:color w:val="FF0000"/>
                <w:sz w:val="36"/>
                <w:vertAlign w:val="superscript"/>
              </w:rPr>
              <w:t>st</w:t>
            </w:r>
            <w:r w:rsidRPr="00631565">
              <w:rPr>
                <w:i/>
                <w:color w:val="FF0000"/>
                <w:sz w:val="36"/>
              </w:rPr>
              <w:t xml:space="preserve"> Final Draft of Essay due</w:t>
            </w:r>
          </w:p>
        </w:tc>
      </w:tr>
    </w:tbl>
    <w:p w:rsidR="00385B02" w:rsidRPr="008D78BD" w:rsidRDefault="00385B02" w:rsidP="008D78BD">
      <w:pPr>
        <w:pStyle w:val="NoSpacing"/>
        <w:rPr>
          <w:color w:val="17365D" w:themeColor="text2" w:themeShade="BF"/>
        </w:rPr>
        <w:sectPr w:rsidR="00385B02" w:rsidRPr="008D78BD" w:rsidSect="00391B9D">
          <w:pgSz w:w="15840" w:h="12240" w:orient="landscape" w:code="1"/>
          <w:pgMar w:top="1440" w:right="1080" w:bottom="1080" w:left="1440" w:header="720" w:footer="720" w:gutter="0"/>
          <w:cols w:space="720"/>
          <w:vAlign w:val="center"/>
          <w:docGrid w:linePitch="360"/>
        </w:sectPr>
      </w:pPr>
    </w:p>
    <w:tbl>
      <w:tblPr>
        <w:tblStyle w:val="LightGrid-Accent5"/>
        <w:tblpPr w:leftFromText="180" w:rightFromText="180" w:vertAnchor="page" w:horzAnchor="margin" w:tblpY="1441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909"/>
        <w:gridCol w:w="1883"/>
      </w:tblGrid>
      <w:tr w:rsidR="008D78BD" w:rsidRPr="00391B9D" w:rsidTr="008D78BD">
        <w:trPr>
          <w:cnfStyle w:val="100000000000"/>
          <w:trHeight w:val="1160"/>
        </w:trPr>
        <w:tc>
          <w:tcPr>
            <w:cnfStyle w:val="001000000000"/>
            <w:tcW w:w="13202" w:type="dxa"/>
            <w:gridSpan w:val="7"/>
          </w:tcPr>
          <w:p w:rsidR="008D78BD" w:rsidRPr="00391B9D" w:rsidRDefault="008D78BD" w:rsidP="008D78BD">
            <w:pPr>
              <w:jc w:val="center"/>
            </w:pPr>
            <w:r>
              <w:rPr>
                <w:sz w:val="96"/>
              </w:rPr>
              <w:lastRenderedPageBreak/>
              <w:t>December</w:t>
            </w:r>
            <w:r w:rsidRPr="00391B9D">
              <w:rPr>
                <w:sz w:val="96"/>
              </w:rPr>
              <w:t xml:space="preserve"> 2010</w:t>
            </w:r>
          </w:p>
        </w:tc>
      </w:tr>
      <w:tr w:rsidR="008D78BD" w:rsidRPr="00391B9D" w:rsidTr="008D78BD">
        <w:trPr>
          <w:cnfStyle w:val="000000100000"/>
          <w:trHeight w:val="530"/>
        </w:trPr>
        <w:tc>
          <w:tcPr>
            <w:cnfStyle w:val="001000000000"/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91B9D">
              <w:rPr>
                <w:rFonts w:asciiTheme="minorHAnsi" w:hAnsiTheme="minorHAnsi" w:cstheme="minorHAnsi"/>
                <w:b w:val="0"/>
              </w:rPr>
              <w:t>Sunday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Monday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Tuesday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Wednesday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Thursday</w:t>
            </w:r>
          </w:p>
        </w:tc>
        <w:tc>
          <w:tcPr>
            <w:tcW w:w="1909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Friday</w:t>
            </w:r>
          </w:p>
        </w:tc>
        <w:tc>
          <w:tcPr>
            <w:tcW w:w="1883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Saturday</w:t>
            </w:r>
          </w:p>
        </w:tc>
      </w:tr>
      <w:tr w:rsidR="008D78BD" w:rsidRPr="00391B9D" w:rsidTr="008D78BD">
        <w:trPr>
          <w:cnfStyle w:val="000000010000"/>
          <w:trHeight w:val="143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2</w:t>
            </w:r>
          </w:p>
        </w:tc>
        <w:tc>
          <w:tcPr>
            <w:tcW w:w="1909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3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4</w:t>
            </w:r>
          </w:p>
        </w:tc>
      </w:tr>
      <w:tr w:rsidR="008D78BD" w:rsidRPr="00391B9D" w:rsidTr="008D78BD">
        <w:trPr>
          <w:cnfStyle w:val="000000100000"/>
          <w:trHeight w:val="134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6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7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8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9</w:t>
            </w:r>
          </w:p>
        </w:tc>
        <w:tc>
          <w:tcPr>
            <w:tcW w:w="1909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10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11</w:t>
            </w:r>
          </w:p>
        </w:tc>
      </w:tr>
      <w:tr w:rsidR="008D78BD" w:rsidRPr="00391B9D" w:rsidTr="008D78BD">
        <w:trPr>
          <w:cnfStyle w:val="000000010000"/>
          <w:trHeight w:val="125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13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14</w:t>
            </w:r>
          </w:p>
          <w:p w:rsidR="008D78BD" w:rsidRPr="004175B4" w:rsidRDefault="008D78BD" w:rsidP="008D78BD">
            <w:pPr>
              <w:jc w:val="both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</w:t>
            </w:r>
          </w:p>
          <w:p w:rsidR="008D78BD" w:rsidRPr="00391B9D" w:rsidRDefault="008D78BD" w:rsidP="008D78BD">
            <w:pPr>
              <w:jc w:val="both"/>
              <w:cnfStyle w:val="000000010000"/>
            </w:pP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15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Introduce Silent to the Bone</w:t>
            </w:r>
          </w:p>
          <w:p w:rsidR="008D78BD" w:rsidRDefault="008D78BD" w:rsidP="008D78BD">
            <w:pPr>
              <w:jc w:val="right"/>
              <w:cnfStyle w:val="000000010000"/>
            </w:pPr>
            <w:r>
              <w:t>Peer Edit Essays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Finish Chapter 1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16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2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Begin Reading  Silent to the Bone</w:t>
            </w:r>
          </w:p>
          <w:p w:rsidR="008D78BD" w:rsidRPr="00391B9D" w:rsidRDefault="008D78BD" w:rsidP="008D78BD">
            <w:pPr>
              <w:jc w:val="right"/>
              <w:cnfStyle w:val="000000010000"/>
            </w:pPr>
            <w:r w:rsidRPr="004175B4">
              <w:rPr>
                <w:color w:val="17365D" w:themeColor="text2" w:themeShade="BF"/>
              </w:rPr>
              <w:t>Pgs 1-48 (1 Week)</w:t>
            </w:r>
          </w:p>
        </w:tc>
        <w:tc>
          <w:tcPr>
            <w:tcW w:w="1909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17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3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Continue Reading</w:t>
            </w:r>
          </w:p>
          <w:p w:rsidR="008D78BD" w:rsidRPr="00391B9D" w:rsidRDefault="008D78BD" w:rsidP="008D78BD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Quiz on </w:t>
            </w:r>
          </w:p>
        </w:tc>
        <w:tc>
          <w:tcPr>
            <w:tcW w:w="1883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18</w:t>
            </w:r>
          </w:p>
          <w:p w:rsidR="008D78BD" w:rsidRPr="00391B9D" w:rsidRDefault="008D78BD" w:rsidP="008D78BD">
            <w:pPr>
              <w:jc w:val="center"/>
              <w:cnfStyle w:val="000000010000"/>
            </w:pPr>
          </w:p>
        </w:tc>
      </w:tr>
      <w:tr w:rsidR="008D78BD" w:rsidRPr="00391B9D" w:rsidTr="008D78BD">
        <w:trPr>
          <w:cnfStyle w:val="000000100000"/>
          <w:trHeight w:val="143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19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100000"/>
            </w:pPr>
            <w:r>
              <w:t>20</w:t>
            </w:r>
          </w:p>
          <w:p w:rsidR="008D78BD" w:rsidRDefault="008D78BD" w:rsidP="008D78BD">
            <w:pPr>
              <w:jc w:val="right"/>
              <w:cnfStyle w:val="000000100000"/>
            </w:pPr>
            <w:r>
              <w:t>Devil’s Chapter 4</w:t>
            </w:r>
          </w:p>
          <w:p w:rsidR="008D78BD" w:rsidRPr="00391B9D" w:rsidRDefault="008D78BD" w:rsidP="008D78BD">
            <w:pPr>
              <w:jc w:val="right"/>
              <w:cnfStyle w:val="000000100000"/>
            </w:pP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100000"/>
            </w:pPr>
            <w:r>
              <w:t>21</w:t>
            </w:r>
          </w:p>
          <w:p w:rsidR="008D78BD" w:rsidRPr="00391B9D" w:rsidRDefault="008D78BD" w:rsidP="008D78BD">
            <w:pPr>
              <w:jc w:val="right"/>
              <w:cnfStyle w:val="000000100000"/>
            </w:pPr>
            <w:r>
              <w:t>Devil’s Chapter 5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100000"/>
            </w:pPr>
            <w:r>
              <w:t>22</w:t>
            </w:r>
          </w:p>
          <w:p w:rsidR="008D78BD" w:rsidRPr="00391B9D" w:rsidRDefault="008D78BD" w:rsidP="008D78BD">
            <w:pPr>
              <w:jc w:val="right"/>
              <w:cnfStyle w:val="000000100000"/>
            </w:pPr>
            <w:r>
              <w:t>Devil’s Chapter 6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100000"/>
            </w:pPr>
            <w:r>
              <w:t>23</w:t>
            </w:r>
          </w:p>
          <w:p w:rsidR="008D78BD" w:rsidRDefault="008D78BD" w:rsidP="008D78BD">
            <w:pPr>
              <w:jc w:val="right"/>
              <w:cnfStyle w:val="000000100000"/>
            </w:pPr>
            <w:r>
              <w:t>Devil’s Chapter 7</w:t>
            </w:r>
          </w:p>
          <w:p w:rsidR="008D78BD" w:rsidRPr="004175B4" w:rsidRDefault="008D78BD" w:rsidP="008D78BD">
            <w:pPr>
              <w:jc w:val="right"/>
              <w:cnfStyle w:val="00000010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 xml:space="preserve">Begin Reading pg 51-110 </w:t>
            </w:r>
          </w:p>
        </w:tc>
        <w:tc>
          <w:tcPr>
            <w:tcW w:w="1909" w:type="dxa"/>
          </w:tcPr>
          <w:p w:rsidR="008D78BD" w:rsidRDefault="008D78BD" w:rsidP="008D78BD">
            <w:pPr>
              <w:jc w:val="right"/>
              <w:cnfStyle w:val="000000100000"/>
            </w:pPr>
            <w:r>
              <w:t>24</w:t>
            </w:r>
          </w:p>
          <w:p w:rsidR="008D78BD" w:rsidRPr="00391B9D" w:rsidRDefault="008D78BD" w:rsidP="008D78BD">
            <w:pPr>
              <w:jc w:val="right"/>
              <w:cnfStyle w:val="000000100000"/>
            </w:pPr>
            <w:r>
              <w:t>Devil’s Chapter 8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25</w:t>
            </w:r>
          </w:p>
        </w:tc>
      </w:tr>
      <w:tr w:rsidR="008D78BD" w:rsidRPr="00391B9D" w:rsidTr="008D78BD">
        <w:trPr>
          <w:cnfStyle w:val="000000010000"/>
          <w:trHeight w:val="179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26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27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28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29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30</w:t>
            </w:r>
          </w:p>
          <w:p w:rsidR="008D78BD" w:rsidRPr="004175B4" w:rsidRDefault="008D78BD" w:rsidP="008D78BD">
            <w:pPr>
              <w:jc w:val="center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Silent to the Bone 111-168</w:t>
            </w:r>
          </w:p>
        </w:tc>
        <w:tc>
          <w:tcPr>
            <w:tcW w:w="1909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31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</w:tr>
    </w:tbl>
    <w:p w:rsidR="008D78BD" w:rsidRDefault="008D78BD" w:rsidP="008D78BD">
      <w:pPr>
        <w:sectPr w:rsidR="008D78BD" w:rsidSect="00391B9D">
          <w:pgSz w:w="15840" w:h="12240" w:orient="landscape" w:code="1"/>
          <w:pgMar w:top="1440" w:right="1080" w:bottom="1080" w:left="1440" w:header="720" w:footer="720" w:gutter="0"/>
          <w:cols w:space="720"/>
          <w:vAlign w:val="center"/>
          <w:docGrid w:linePitch="360"/>
        </w:sectPr>
      </w:pPr>
    </w:p>
    <w:tbl>
      <w:tblPr>
        <w:tblStyle w:val="LightGrid-Accent6"/>
        <w:tblpPr w:leftFromText="180" w:rightFromText="180" w:vertAnchor="page" w:horzAnchor="margin" w:tblpY="805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85B02" w:rsidRPr="00391B9D" w:rsidTr="00385B02">
        <w:trPr>
          <w:cnfStyle w:val="100000000000"/>
          <w:trHeight w:val="1160"/>
        </w:trPr>
        <w:tc>
          <w:tcPr>
            <w:cnfStyle w:val="001000000000"/>
            <w:tcW w:w="13176" w:type="dxa"/>
            <w:gridSpan w:val="7"/>
          </w:tcPr>
          <w:p w:rsidR="00385B02" w:rsidRPr="00391B9D" w:rsidRDefault="00385B02" w:rsidP="00385B02">
            <w:pPr>
              <w:jc w:val="center"/>
            </w:pPr>
            <w:r>
              <w:rPr>
                <w:sz w:val="96"/>
              </w:rPr>
              <w:lastRenderedPageBreak/>
              <w:t>January 2011</w:t>
            </w:r>
          </w:p>
        </w:tc>
      </w:tr>
      <w:tr w:rsidR="00385B02" w:rsidRPr="00391B9D" w:rsidTr="00385B02">
        <w:trPr>
          <w:cnfStyle w:val="000000100000"/>
          <w:trHeight w:val="530"/>
        </w:trPr>
        <w:tc>
          <w:tcPr>
            <w:cnfStyle w:val="001000000000"/>
            <w:tcW w:w="1882" w:type="dxa"/>
            <w:vAlign w:val="center"/>
          </w:tcPr>
          <w:p w:rsidR="00385B02" w:rsidRPr="00391B9D" w:rsidRDefault="00385B02" w:rsidP="00385B0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91B9D">
              <w:rPr>
                <w:rFonts w:asciiTheme="minorHAnsi" w:hAnsiTheme="minorHAnsi" w:cstheme="minorHAnsi"/>
                <w:b w:val="0"/>
              </w:rPr>
              <w:t>Sunday</w:t>
            </w:r>
          </w:p>
        </w:tc>
        <w:tc>
          <w:tcPr>
            <w:tcW w:w="1882" w:type="dxa"/>
            <w:vAlign w:val="center"/>
          </w:tcPr>
          <w:p w:rsidR="00385B02" w:rsidRPr="00391B9D" w:rsidRDefault="00385B02" w:rsidP="00385B02">
            <w:pPr>
              <w:jc w:val="center"/>
              <w:cnfStyle w:val="000000100000"/>
            </w:pPr>
            <w:r w:rsidRPr="00391B9D">
              <w:t>Monday</w:t>
            </w:r>
          </w:p>
        </w:tc>
        <w:tc>
          <w:tcPr>
            <w:tcW w:w="1882" w:type="dxa"/>
            <w:vAlign w:val="center"/>
          </w:tcPr>
          <w:p w:rsidR="00385B02" w:rsidRPr="00391B9D" w:rsidRDefault="00385B02" w:rsidP="00385B02">
            <w:pPr>
              <w:jc w:val="center"/>
              <w:cnfStyle w:val="000000100000"/>
            </w:pPr>
            <w:r w:rsidRPr="00391B9D">
              <w:t>Tuesday</w:t>
            </w:r>
          </w:p>
        </w:tc>
        <w:tc>
          <w:tcPr>
            <w:tcW w:w="1882" w:type="dxa"/>
            <w:vAlign w:val="center"/>
          </w:tcPr>
          <w:p w:rsidR="00385B02" w:rsidRPr="00391B9D" w:rsidRDefault="00385B02" w:rsidP="00385B02">
            <w:pPr>
              <w:jc w:val="center"/>
              <w:cnfStyle w:val="000000100000"/>
            </w:pPr>
            <w:r w:rsidRPr="00391B9D">
              <w:t>Wednesday</w:t>
            </w:r>
          </w:p>
        </w:tc>
        <w:tc>
          <w:tcPr>
            <w:tcW w:w="1882" w:type="dxa"/>
            <w:vAlign w:val="center"/>
          </w:tcPr>
          <w:p w:rsidR="00385B02" w:rsidRPr="00391B9D" w:rsidRDefault="00385B02" w:rsidP="00385B02">
            <w:pPr>
              <w:jc w:val="center"/>
              <w:cnfStyle w:val="000000100000"/>
            </w:pPr>
            <w:r w:rsidRPr="00391B9D">
              <w:t>Thursday</w:t>
            </w:r>
          </w:p>
        </w:tc>
        <w:tc>
          <w:tcPr>
            <w:tcW w:w="1883" w:type="dxa"/>
            <w:vAlign w:val="center"/>
          </w:tcPr>
          <w:p w:rsidR="00385B02" w:rsidRPr="00391B9D" w:rsidRDefault="00385B02" w:rsidP="00385B02">
            <w:pPr>
              <w:jc w:val="center"/>
              <w:cnfStyle w:val="000000100000"/>
            </w:pPr>
            <w:r w:rsidRPr="00391B9D">
              <w:t>Friday</w:t>
            </w:r>
          </w:p>
        </w:tc>
        <w:tc>
          <w:tcPr>
            <w:tcW w:w="1883" w:type="dxa"/>
            <w:vAlign w:val="center"/>
          </w:tcPr>
          <w:p w:rsidR="00385B02" w:rsidRPr="00391B9D" w:rsidRDefault="00385B02" w:rsidP="00385B02">
            <w:pPr>
              <w:jc w:val="center"/>
              <w:cnfStyle w:val="000000100000"/>
            </w:pPr>
            <w:r w:rsidRPr="00391B9D">
              <w:t>Saturday</w:t>
            </w:r>
          </w:p>
        </w:tc>
      </w:tr>
      <w:tr w:rsidR="00385B02" w:rsidRPr="00391B9D" w:rsidTr="00385B02">
        <w:trPr>
          <w:cnfStyle w:val="000000010000"/>
          <w:trHeight w:val="1430"/>
        </w:trPr>
        <w:tc>
          <w:tcPr>
            <w:cnfStyle w:val="001000000000"/>
            <w:tcW w:w="1882" w:type="dxa"/>
          </w:tcPr>
          <w:p w:rsidR="00385B02" w:rsidRPr="00391B9D" w:rsidRDefault="00385B02" w:rsidP="00385B02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82" w:type="dxa"/>
          </w:tcPr>
          <w:p w:rsidR="00385B02" w:rsidRPr="00391B9D" w:rsidRDefault="00385B02" w:rsidP="00385B02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385B02" w:rsidRPr="00391B9D" w:rsidRDefault="00385B02" w:rsidP="00385B02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385B02" w:rsidRPr="00391B9D" w:rsidRDefault="00385B02" w:rsidP="00385B02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385B02" w:rsidRPr="00391B9D" w:rsidRDefault="00385B02" w:rsidP="00385B02">
            <w:pPr>
              <w:jc w:val="right"/>
              <w:cnfStyle w:val="000000010000"/>
            </w:pPr>
          </w:p>
        </w:tc>
        <w:tc>
          <w:tcPr>
            <w:tcW w:w="1883" w:type="dxa"/>
          </w:tcPr>
          <w:p w:rsidR="00385B02" w:rsidRPr="00391B9D" w:rsidRDefault="00385B02" w:rsidP="00385B02">
            <w:pPr>
              <w:jc w:val="right"/>
              <w:cnfStyle w:val="000000010000"/>
            </w:pPr>
          </w:p>
        </w:tc>
        <w:tc>
          <w:tcPr>
            <w:tcW w:w="1883" w:type="dxa"/>
          </w:tcPr>
          <w:p w:rsidR="00385B02" w:rsidRPr="00391B9D" w:rsidRDefault="00385B02" w:rsidP="00385B02">
            <w:pPr>
              <w:jc w:val="right"/>
              <w:cnfStyle w:val="000000010000"/>
            </w:pPr>
            <w:r>
              <w:t>1</w:t>
            </w:r>
          </w:p>
        </w:tc>
      </w:tr>
      <w:tr w:rsidR="00385B02" w:rsidRPr="00391B9D" w:rsidTr="00385B02">
        <w:trPr>
          <w:cnfStyle w:val="000000100000"/>
          <w:trHeight w:val="1340"/>
        </w:trPr>
        <w:tc>
          <w:tcPr>
            <w:cnfStyle w:val="001000000000"/>
            <w:tcW w:w="1882" w:type="dxa"/>
          </w:tcPr>
          <w:p w:rsidR="00385B02" w:rsidRPr="00391B9D" w:rsidRDefault="00385B02" w:rsidP="00385B02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3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Chapter 9</w:t>
            </w:r>
          </w:p>
          <w:p w:rsidR="00385B02" w:rsidRDefault="00385B02" w:rsidP="00385B02">
            <w:pPr>
              <w:jc w:val="right"/>
              <w:cnfStyle w:val="000000100000"/>
            </w:pPr>
            <w:r>
              <w:t>Homework</w:t>
            </w:r>
          </w:p>
          <w:p w:rsidR="00385B02" w:rsidRPr="00391B9D" w:rsidRDefault="00385B02" w:rsidP="00385B02">
            <w:pPr>
              <w:jc w:val="right"/>
              <w:cnfStyle w:val="000000100000"/>
            </w:pPr>
            <w:r>
              <w:t>Index Cards U6 due Friday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4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10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5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11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6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12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Silent to the Bone 168-213</w:t>
            </w:r>
          </w:p>
        </w:tc>
        <w:tc>
          <w:tcPr>
            <w:tcW w:w="1883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7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13</w:t>
            </w:r>
          </w:p>
        </w:tc>
        <w:tc>
          <w:tcPr>
            <w:tcW w:w="1883" w:type="dxa"/>
          </w:tcPr>
          <w:p w:rsidR="00385B02" w:rsidRPr="00391B9D" w:rsidRDefault="00385B02" w:rsidP="00385B02">
            <w:pPr>
              <w:jc w:val="right"/>
              <w:cnfStyle w:val="000000100000"/>
            </w:pPr>
            <w:r>
              <w:t>8</w:t>
            </w:r>
          </w:p>
        </w:tc>
      </w:tr>
      <w:tr w:rsidR="00385B02" w:rsidRPr="00391B9D" w:rsidTr="00385B02">
        <w:trPr>
          <w:cnfStyle w:val="000000010000"/>
          <w:trHeight w:val="1250"/>
        </w:trPr>
        <w:tc>
          <w:tcPr>
            <w:cnfStyle w:val="001000000000"/>
            <w:tcW w:w="1882" w:type="dxa"/>
          </w:tcPr>
          <w:p w:rsidR="00385B02" w:rsidRPr="00391B9D" w:rsidRDefault="00385B02" w:rsidP="00385B02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010000"/>
            </w:pPr>
            <w:r>
              <w:t>10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14</w:t>
            </w:r>
          </w:p>
          <w:p w:rsidR="00385B02" w:rsidRDefault="00385B02" w:rsidP="00385B02">
            <w:pPr>
              <w:jc w:val="right"/>
              <w:cnfStyle w:val="000000010000"/>
              <w:rPr>
                <w:b/>
              </w:rPr>
            </w:pPr>
            <w:r w:rsidRPr="00AB14C1">
              <w:rPr>
                <w:b/>
              </w:rPr>
              <w:t>Homework</w:t>
            </w:r>
          </w:p>
          <w:p w:rsidR="00385B02" w:rsidRPr="00AB14C1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U6 Completing the Sentences due Wednesday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010000"/>
            </w:pPr>
            <w:r>
              <w:t>11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15</w:t>
            </w:r>
          </w:p>
          <w:p w:rsidR="00385B02" w:rsidRDefault="00385B02" w:rsidP="00385B02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U6</w:t>
            </w:r>
          </w:p>
          <w:p w:rsidR="00385B02" w:rsidRDefault="00385B02" w:rsidP="00385B02">
            <w:pPr>
              <w:jc w:val="right"/>
              <w:cnfStyle w:val="000000010000"/>
            </w:pPr>
            <w:r>
              <w:t>Synonyms U6</w:t>
            </w:r>
          </w:p>
          <w:p w:rsidR="00385B02" w:rsidRPr="00AB14C1" w:rsidRDefault="00385B02" w:rsidP="00385B02">
            <w:pPr>
              <w:jc w:val="right"/>
              <w:cnfStyle w:val="000000010000"/>
            </w:pPr>
            <w:r>
              <w:t>Due Thursday</w:t>
            </w:r>
          </w:p>
          <w:p w:rsidR="00385B02" w:rsidRPr="00AB14C1" w:rsidRDefault="00385B02" w:rsidP="00385B02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010000"/>
            </w:pPr>
            <w:r>
              <w:t>12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16</w:t>
            </w:r>
          </w:p>
          <w:p w:rsidR="00385B02" w:rsidRDefault="00385B02" w:rsidP="00385B02">
            <w:pPr>
              <w:jc w:val="right"/>
              <w:cnfStyle w:val="000000010000"/>
            </w:pPr>
            <w:r>
              <w:rPr>
                <w:b/>
              </w:rPr>
              <w:t>Homework</w:t>
            </w:r>
          </w:p>
          <w:p w:rsidR="00385B02" w:rsidRPr="00AB14C1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U6 Choosing the Right Words(Due Friday)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010000"/>
            </w:pPr>
            <w:r>
              <w:t>13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17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Silent to the Bone 214-261</w:t>
            </w:r>
          </w:p>
          <w:p w:rsidR="00385B02" w:rsidRPr="00AB14C1" w:rsidRDefault="00385B02" w:rsidP="00385B02">
            <w:pPr>
              <w:jc w:val="center"/>
              <w:cnfStyle w:val="000000010000"/>
            </w:pPr>
          </w:p>
        </w:tc>
        <w:tc>
          <w:tcPr>
            <w:tcW w:w="1883" w:type="dxa"/>
          </w:tcPr>
          <w:p w:rsidR="00385B02" w:rsidRDefault="00385B02" w:rsidP="00385B02">
            <w:pPr>
              <w:jc w:val="right"/>
              <w:cnfStyle w:val="000000010000"/>
            </w:pPr>
            <w:r>
              <w:t>14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18</w:t>
            </w:r>
          </w:p>
          <w:p w:rsidR="00385B02" w:rsidRPr="00AB14C1" w:rsidRDefault="00385B02" w:rsidP="00385B02">
            <w:pPr>
              <w:jc w:val="right"/>
              <w:cnfStyle w:val="000000010000"/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Quiz Unit 6 </w:t>
            </w:r>
          </w:p>
        </w:tc>
        <w:tc>
          <w:tcPr>
            <w:tcW w:w="1883" w:type="dxa"/>
          </w:tcPr>
          <w:p w:rsidR="00385B02" w:rsidRPr="00391B9D" w:rsidRDefault="00385B02" w:rsidP="00385B02">
            <w:pPr>
              <w:jc w:val="right"/>
              <w:cnfStyle w:val="000000010000"/>
            </w:pPr>
            <w:r>
              <w:t>15</w:t>
            </w:r>
          </w:p>
        </w:tc>
      </w:tr>
      <w:tr w:rsidR="00385B02" w:rsidRPr="00391B9D" w:rsidTr="00385B02">
        <w:trPr>
          <w:cnfStyle w:val="000000100000"/>
          <w:trHeight w:val="1430"/>
        </w:trPr>
        <w:tc>
          <w:tcPr>
            <w:cnfStyle w:val="001000000000"/>
            <w:tcW w:w="1882" w:type="dxa"/>
          </w:tcPr>
          <w:p w:rsidR="00385B02" w:rsidRPr="00391B9D" w:rsidRDefault="00385B02" w:rsidP="00385B02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17</w:t>
            </w:r>
          </w:p>
          <w:p w:rsidR="00385B02" w:rsidRPr="00391B9D" w:rsidRDefault="00385B02" w:rsidP="00385B02">
            <w:pPr>
              <w:jc w:val="right"/>
              <w:cnfStyle w:val="000000100000"/>
            </w:pPr>
            <w:r>
              <w:t>No School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18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Chapter 19 &amp; Epilogue</w:t>
            </w:r>
          </w:p>
          <w:p w:rsidR="00385B02" w:rsidRDefault="00385B02" w:rsidP="00385B02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100000"/>
            </w:pPr>
            <w:proofErr w:type="spellStart"/>
            <w:r>
              <w:t>Vocab</w:t>
            </w:r>
            <w:proofErr w:type="spellEnd"/>
            <w:r>
              <w:t xml:space="preserve"> Unit 1-3 </w:t>
            </w:r>
          </w:p>
          <w:p w:rsidR="00385B02" w:rsidRPr="00AB14C1" w:rsidRDefault="00385B02" w:rsidP="00385B02">
            <w:pPr>
              <w:jc w:val="right"/>
              <w:cnfStyle w:val="000000100000"/>
            </w:pPr>
            <w:r>
              <w:t>Two Word Completions due Thursday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19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Silent to the Bone Timeline and Graphic Organizer due</w:t>
            </w:r>
          </w:p>
          <w:p w:rsidR="00385B02" w:rsidRDefault="00385B02" w:rsidP="00385B02">
            <w:pPr>
              <w:jc w:val="right"/>
              <w:cnfStyle w:val="000000100000"/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100000"/>
            </w:pPr>
            <w:proofErr w:type="spellStart"/>
            <w:r>
              <w:t>Vocab</w:t>
            </w:r>
            <w:proofErr w:type="spellEnd"/>
            <w:r>
              <w:t xml:space="preserve"> Unit 1-3</w:t>
            </w:r>
          </w:p>
          <w:p w:rsidR="00385B02" w:rsidRPr="00AB14C1" w:rsidRDefault="00385B02" w:rsidP="00385B02">
            <w:pPr>
              <w:jc w:val="right"/>
              <w:cnfStyle w:val="000000100000"/>
            </w:pPr>
            <w:r>
              <w:t>Word Associations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20</w:t>
            </w:r>
          </w:p>
          <w:p w:rsidR="00385B02" w:rsidRDefault="00385B02" w:rsidP="00385B02">
            <w:pPr>
              <w:jc w:val="right"/>
              <w:cnfStyle w:val="000000100000"/>
              <w:rPr>
                <w:color w:val="17365D" w:themeColor="text2" w:themeShade="BF"/>
              </w:rPr>
            </w:pPr>
            <w:r w:rsidRPr="004175B4">
              <w:rPr>
                <w:color w:val="FF0000"/>
              </w:rPr>
              <w:t>Devil’s Test Review</w:t>
            </w:r>
            <w:r w:rsidRPr="004175B4">
              <w:rPr>
                <w:color w:val="17365D" w:themeColor="text2" w:themeShade="BF"/>
              </w:rPr>
              <w:t xml:space="preserve"> 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Silent to the Bone Essay planner due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</w:p>
          <w:p w:rsidR="00385B02" w:rsidRDefault="00385B02" w:rsidP="00385B02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100000"/>
            </w:pPr>
            <w:proofErr w:type="spellStart"/>
            <w:r>
              <w:t>Vocab</w:t>
            </w:r>
            <w:proofErr w:type="spellEnd"/>
            <w:r>
              <w:t xml:space="preserve"> Unit 1-3</w:t>
            </w:r>
          </w:p>
          <w:p w:rsidR="00385B02" w:rsidRPr="00AB14C1" w:rsidRDefault="00385B02" w:rsidP="00385B02">
            <w:pPr>
              <w:jc w:val="right"/>
              <w:cnfStyle w:val="000000100000"/>
            </w:pPr>
            <w:r>
              <w:t>Building Classical Roots</w:t>
            </w:r>
          </w:p>
        </w:tc>
        <w:tc>
          <w:tcPr>
            <w:tcW w:w="1883" w:type="dxa"/>
          </w:tcPr>
          <w:p w:rsidR="00385B02" w:rsidRDefault="00385B02" w:rsidP="00385B02">
            <w:pPr>
              <w:jc w:val="right"/>
              <w:cnfStyle w:val="000000100000"/>
            </w:pPr>
            <w:r>
              <w:t>21</w:t>
            </w:r>
          </w:p>
          <w:p w:rsidR="00385B02" w:rsidRPr="004175B4" w:rsidRDefault="00385B02" w:rsidP="00385B02">
            <w:pPr>
              <w:jc w:val="right"/>
              <w:cnfStyle w:val="000000100000"/>
              <w:rPr>
                <w:color w:val="FF0000"/>
              </w:rPr>
            </w:pPr>
            <w:r w:rsidRPr="004175B4">
              <w:rPr>
                <w:color w:val="FF0000"/>
              </w:rPr>
              <w:t>Devil’s Test</w:t>
            </w:r>
          </w:p>
          <w:p w:rsidR="00385B02" w:rsidRPr="00391B9D" w:rsidRDefault="00385B02" w:rsidP="00385B02">
            <w:pPr>
              <w:jc w:val="right"/>
              <w:cnfStyle w:val="000000100000"/>
            </w:pPr>
            <w:r w:rsidRPr="004175B4">
              <w:rPr>
                <w:color w:val="FF0000"/>
              </w:rPr>
              <w:t>Devil’s Arithmetic Essay Planner</w:t>
            </w:r>
          </w:p>
        </w:tc>
        <w:tc>
          <w:tcPr>
            <w:tcW w:w="1883" w:type="dxa"/>
          </w:tcPr>
          <w:p w:rsidR="00385B02" w:rsidRPr="00391B9D" w:rsidRDefault="00385B02" w:rsidP="00385B02">
            <w:pPr>
              <w:jc w:val="right"/>
              <w:cnfStyle w:val="000000100000"/>
            </w:pPr>
            <w:r>
              <w:t>22</w:t>
            </w:r>
          </w:p>
        </w:tc>
      </w:tr>
      <w:tr w:rsidR="00385B02" w:rsidRPr="00391B9D" w:rsidTr="00385B02">
        <w:trPr>
          <w:cnfStyle w:val="000000010000"/>
          <w:trHeight w:val="893"/>
        </w:trPr>
        <w:tc>
          <w:tcPr>
            <w:cnfStyle w:val="001000000000"/>
            <w:tcW w:w="1882" w:type="dxa"/>
          </w:tcPr>
          <w:p w:rsidR="00385B02" w:rsidRPr="00391B9D" w:rsidRDefault="00385B02" w:rsidP="00385B02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23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010000"/>
            </w:pPr>
            <w:r>
              <w:t>24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Arithmetic Essay Planner due</w:t>
            </w:r>
          </w:p>
          <w:p w:rsidR="00385B02" w:rsidRDefault="00385B02" w:rsidP="00385B02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Review 4-6</w:t>
            </w:r>
          </w:p>
          <w:p w:rsidR="00385B02" w:rsidRDefault="00385B02" w:rsidP="00385B02">
            <w:pPr>
              <w:jc w:val="right"/>
              <w:cnfStyle w:val="000000010000"/>
            </w:pPr>
            <w:r>
              <w:t>Two Word Completions</w:t>
            </w:r>
          </w:p>
          <w:p w:rsidR="00385B02" w:rsidRPr="00AB14C1" w:rsidRDefault="00385B02" w:rsidP="00385B02">
            <w:pPr>
              <w:jc w:val="right"/>
              <w:cnfStyle w:val="000000010000"/>
            </w:pPr>
            <w:r>
              <w:t>Due Wednesday</w:t>
            </w:r>
          </w:p>
        </w:tc>
        <w:tc>
          <w:tcPr>
            <w:tcW w:w="1882" w:type="dxa"/>
            <w:vMerge w:val="restart"/>
          </w:tcPr>
          <w:p w:rsidR="00385B02" w:rsidRDefault="00385B02" w:rsidP="00385B02">
            <w:pPr>
              <w:jc w:val="right"/>
              <w:cnfStyle w:val="000000010000"/>
            </w:pPr>
            <w:r>
              <w:t>25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Work on Devil’s Essay in class</w:t>
            </w:r>
          </w:p>
          <w:p w:rsidR="00385B02" w:rsidRDefault="00385B02" w:rsidP="00385B02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Review 4-6</w:t>
            </w:r>
          </w:p>
          <w:p w:rsidR="00385B02" w:rsidRDefault="00385B02" w:rsidP="00385B02">
            <w:pPr>
              <w:jc w:val="right"/>
              <w:cnfStyle w:val="000000010000"/>
            </w:pPr>
            <w:r>
              <w:t>Word Associations</w:t>
            </w:r>
          </w:p>
          <w:p w:rsidR="00385B02" w:rsidRPr="00AB14C1" w:rsidRDefault="00385B02" w:rsidP="00385B02">
            <w:pPr>
              <w:jc w:val="right"/>
              <w:cnfStyle w:val="000000010000"/>
            </w:pPr>
            <w:r>
              <w:t>Due Thursday</w:t>
            </w:r>
          </w:p>
        </w:tc>
        <w:tc>
          <w:tcPr>
            <w:tcW w:w="1882" w:type="dxa"/>
            <w:vMerge w:val="restart"/>
          </w:tcPr>
          <w:p w:rsidR="00385B02" w:rsidRDefault="00385B02" w:rsidP="00385B02">
            <w:pPr>
              <w:jc w:val="right"/>
              <w:cnfStyle w:val="000000010000"/>
            </w:pPr>
            <w:r>
              <w:t>26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Work on Devil’s Essay in class</w:t>
            </w:r>
          </w:p>
          <w:p w:rsidR="00385B02" w:rsidRDefault="00385B02" w:rsidP="00385B02">
            <w:pPr>
              <w:jc w:val="right"/>
              <w:cnfStyle w:val="000000010000"/>
            </w:pPr>
            <w:r>
              <w:rPr>
                <w:b/>
              </w:rPr>
              <w:t>Homework</w:t>
            </w:r>
          </w:p>
          <w:p w:rsidR="00385B02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review 4-6</w:t>
            </w:r>
          </w:p>
          <w:p w:rsidR="00385B02" w:rsidRDefault="00385B02" w:rsidP="00385B02">
            <w:pPr>
              <w:jc w:val="right"/>
              <w:cnfStyle w:val="000000010000"/>
            </w:pPr>
            <w:r>
              <w:t>Building with Classical roots</w:t>
            </w:r>
          </w:p>
          <w:p w:rsidR="00385B02" w:rsidRPr="004175B4" w:rsidRDefault="00385B02" w:rsidP="00385B02">
            <w:pPr>
              <w:jc w:val="right"/>
              <w:cnfStyle w:val="000000010000"/>
            </w:pPr>
            <w:r>
              <w:t>Due Friday</w:t>
            </w:r>
          </w:p>
        </w:tc>
        <w:tc>
          <w:tcPr>
            <w:tcW w:w="1882" w:type="dxa"/>
            <w:vMerge w:val="restart"/>
          </w:tcPr>
          <w:p w:rsidR="00385B02" w:rsidRDefault="00385B02" w:rsidP="00385B02">
            <w:pPr>
              <w:jc w:val="right"/>
              <w:cnfStyle w:val="000000010000"/>
            </w:pPr>
            <w:r>
              <w:t>27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1</w:t>
            </w:r>
            <w:r w:rsidRPr="004175B4">
              <w:rPr>
                <w:color w:val="FF0000"/>
                <w:vertAlign w:val="superscript"/>
              </w:rPr>
              <w:t>st</w:t>
            </w:r>
            <w:r w:rsidRPr="004175B4">
              <w:rPr>
                <w:color w:val="FF0000"/>
              </w:rPr>
              <w:t xml:space="preserve"> Draft due</w:t>
            </w:r>
            <w:r>
              <w:rPr>
                <w:color w:val="FF0000"/>
              </w:rPr>
              <w:t xml:space="preserve"> of Devil’s Arithmetic Essay Due</w:t>
            </w:r>
            <w:r w:rsidRPr="004175B4">
              <w:rPr>
                <w:color w:val="FF0000"/>
              </w:rPr>
              <w:t xml:space="preserve"> </w:t>
            </w:r>
          </w:p>
        </w:tc>
        <w:tc>
          <w:tcPr>
            <w:tcW w:w="1883" w:type="dxa"/>
            <w:vMerge w:val="restart"/>
          </w:tcPr>
          <w:p w:rsidR="00385B02" w:rsidRDefault="00385B02" w:rsidP="00385B02">
            <w:pPr>
              <w:jc w:val="right"/>
              <w:cnfStyle w:val="000000010000"/>
            </w:pPr>
            <w:r>
              <w:t>28</w:t>
            </w:r>
          </w:p>
          <w:p w:rsidR="00385B02" w:rsidRPr="004175B4" w:rsidRDefault="00385B02" w:rsidP="00385B02">
            <w:pPr>
              <w:jc w:val="right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1st draft of Silent to the Bone Due</w:t>
            </w:r>
          </w:p>
          <w:p w:rsidR="00385B02" w:rsidRDefault="00385B02" w:rsidP="00385B02">
            <w:pPr>
              <w:jc w:val="right"/>
              <w:cnfStyle w:val="000000010000"/>
            </w:pPr>
            <w:proofErr w:type="spellStart"/>
            <w:r>
              <w:t>Vocab</w:t>
            </w:r>
            <w:proofErr w:type="spellEnd"/>
            <w:r>
              <w:t xml:space="preserve"> Test </w:t>
            </w:r>
          </w:p>
          <w:p w:rsidR="00385B02" w:rsidRPr="00391B9D" w:rsidRDefault="00385B02" w:rsidP="00385B02">
            <w:pPr>
              <w:jc w:val="right"/>
              <w:cnfStyle w:val="000000010000"/>
            </w:pPr>
            <w:r>
              <w:t>Unit 1-6</w:t>
            </w:r>
          </w:p>
        </w:tc>
        <w:tc>
          <w:tcPr>
            <w:tcW w:w="1883" w:type="dxa"/>
            <w:vMerge w:val="restart"/>
          </w:tcPr>
          <w:p w:rsidR="00385B02" w:rsidRPr="00391B9D" w:rsidRDefault="00385B02" w:rsidP="00385B02">
            <w:pPr>
              <w:jc w:val="right"/>
              <w:cnfStyle w:val="000000010000"/>
            </w:pPr>
            <w:r>
              <w:t>29</w:t>
            </w:r>
          </w:p>
        </w:tc>
      </w:tr>
      <w:tr w:rsidR="00385B02" w:rsidRPr="00391B9D" w:rsidTr="00385B02">
        <w:trPr>
          <w:cnfStyle w:val="000000100000"/>
          <w:trHeight w:val="892"/>
        </w:trPr>
        <w:tc>
          <w:tcPr>
            <w:cnfStyle w:val="001000000000"/>
            <w:tcW w:w="1882" w:type="dxa"/>
          </w:tcPr>
          <w:p w:rsidR="00385B02" w:rsidRDefault="00385B02" w:rsidP="00385B02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30</w:t>
            </w:r>
          </w:p>
        </w:tc>
        <w:tc>
          <w:tcPr>
            <w:tcW w:w="1882" w:type="dxa"/>
          </w:tcPr>
          <w:p w:rsidR="00385B02" w:rsidRDefault="00385B02" w:rsidP="00385B02">
            <w:pPr>
              <w:jc w:val="right"/>
              <w:cnfStyle w:val="000000100000"/>
            </w:pPr>
            <w:r w:rsidRPr="004175B4">
              <w:rPr>
                <w:color w:val="FF0000"/>
              </w:rPr>
              <w:t xml:space="preserve">Work on final draft of </w:t>
            </w:r>
            <w:r w:rsidRPr="004175B4">
              <w:rPr>
                <w:i/>
                <w:color w:val="FF0000"/>
              </w:rPr>
              <w:t>The Devil’s Arithmetic</w:t>
            </w:r>
            <w:r>
              <w:t xml:space="preserve"> 31</w:t>
            </w:r>
          </w:p>
        </w:tc>
        <w:tc>
          <w:tcPr>
            <w:tcW w:w="1882" w:type="dxa"/>
            <w:vMerge/>
          </w:tcPr>
          <w:p w:rsidR="00385B02" w:rsidRDefault="00385B02" w:rsidP="00385B02">
            <w:pPr>
              <w:jc w:val="right"/>
              <w:cnfStyle w:val="000000100000"/>
            </w:pPr>
          </w:p>
        </w:tc>
        <w:tc>
          <w:tcPr>
            <w:tcW w:w="1882" w:type="dxa"/>
            <w:vMerge/>
          </w:tcPr>
          <w:p w:rsidR="00385B02" w:rsidRDefault="00385B02" w:rsidP="00385B02">
            <w:pPr>
              <w:jc w:val="right"/>
              <w:cnfStyle w:val="000000100000"/>
            </w:pPr>
          </w:p>
        </w:tc>
        <w:tc>
          <w:tcPr>
            <w:tcW w:w="1882" w:type="dxa"/>
            <w:vMerge/>
          </w:tcPr>
          <w:p w:rsidR="00385B02" w:rsidRDefault="00385B02" w:rsidP="00385B02">
            <w:pPr>
              <w:jc w:val="right"/>
              <w:cnfStyle w:val="000000100000"/>
            </w:pPr>
          </w:p>
        </w:tc>
        <w:tc>
          <w:tcPr>
            <w:tcW w:w="1883" w:type="dxa"/>
            <w:vMerge/>
          </w:tcPr>
          <w:p w:rsidR="00385B02" w:rsidRDefault="00385B02" w:rsidP="00385B02">
            <w:pPr>
              <w:jc w:val="right"/>
              <w:cnfStyle w:val="000000100000"/>
            </w:pPr>
          </w:p>
        </w:tc>
        <w:tc>
          <w:tcPr>
            <w:tcW w:w="1883" w:type="dxa"/>
            <w:vMerge/>
          </w:tcPr>
          <w:p w:rsidR="00385B02" w:rsidRDefault="00385B02" w:rsidP="00385B02">
            <w:pPr>
              <w:jc w:val="right"/>
              <w:cnfStyle w:val="000000100000"/>
            </w:pPr>
          </w:p>
        </w:tc>
      </w:tr>
    </w:tbl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/>
    <w:p w:rsidR="008D78BD" w:rsidRDefault="008D78BD" w:rsidP="008D78BD">
      <w:pPr>
        <w:sectPr w:rsidR="008D78BD" w:rsidSect="00391B9D">
          <w:pgSz w:w="15840" w:h="12240" w:orient="landscape" w:code="1"/>
          <w:pgMar w:top="1440" w:right="1080" w:bottom="1080" w:left="1440" w:header="720" w:footer="720" w:gutter="0"/>
          <w:cols w:space="720"/>
          <w:vAlign w:val="center"/>
          <w:docGrid w:linePitch="360"/>
        </w:sectPr>
      </w:pPr>
    </w:p>
    <w:tbl>
      <w:tblPr>
        <w:tblStyle w:val="LightGrid-Accent1"/>
        <w:tblpPr w:leftFromText="180" w:rightFromText="180" w:vertAnchor="text" w:horzAnchor="margin" w:tblpY="721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D78BD" w:rsidRPr="00391B9D" w:rsidTr="008D78BD">
        <w:trPr>
          <w:cnfStyle w:val="100000000000"/>
          <w:trHeight w:val="1160"/>
        </w:trPr>
        <w:tc>
          <w:tcPr>
            <w:cnfStyle w:val="001000000000"/>
            <w:tcW w:w="13176" w:type="dxa"/>
            <w:gridSpan w:val="7"/>
          </w:tcPr>
          <w:p w:rsidR="008D78BD" w:rsidRPr="00391B9D" w:rsidRDefault="008D78BD" w:rsidP="008D78BD">
            <w:pPr>
              <w:jc w:val="center"/>
            </w:pPr>
            <w:r>
              <w:rPr>
                <w:sz w:val="96"/>
              </w:rPr>
              <w:lastRenderedPageBreak/>
              <w:t>February 2011</w:t>
            </w:r>
          </w:p>
        </w:tc>
      </w:tr>
      <w:tr w:rsidR="008D78BD" w:rsidRPr="00391B9D" w:rsidTr="008D78BD">
        <w:trPr>
          <w:cnfStyle w:val="000000100000"/>
          <w:trHeight w:val="530"/>
        </w:trPr>
        <w:tc>
          <w:tcPr>
            <w:cnfStyle w:val="001000000000"/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91B9D">
              <w:rPr>
                <w:rFonts w:asciiTheme="minorHAnsi" w:hAnsiTheme="minorHAnsi" w:cstheme="minorHAnsi"/>
                <w:b w:val="0"/>
              </w:rPr>
              <w:t>Sunday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Monday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Tuesday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Wednesday</w:t>
            </w:r>
          </w:p>
        </w:tc>
        <w:tc>
          <w:tcPr>
            <w:tcW w:w="1882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Thursday</w:t>
            </w:r>
          </w:p>
        </w:tc>
        <w:tc>
          <w:tcPr>
            <w:tcW w:w="1883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Friday</w:t>
            </w:r>
          </w:p>
        </w:tc>
        <w:tc>
          <w:tcPr>
            <w:tcW w:w="1883" w:type="dxa"/>
            <w:vAlign w:val="center"/>
          </w:tcPr>
          <w:p w:rsidR="008D78BD" w:rsidRPr="00391B9D" w:rsidRDefault="008D78BD" w:rsidP="008D78BD">
            <w:pPr>
              <w:jc w:val="center"/>
              <w:cnfStyle w:val="000000100000"/>
            </w:pPr>
            <w:r w:rsidRPr="00391B9D">
              <w:t>Saturday</w:t>
            </w:r>
          </w:p>
        </w:tc>
      </w:tr>
      <w:tr w:rsidR="008D78BD" w:rsidRPr="00391B9D" w:rsidTr="008D78BD">
        <w:trPr>
          <w:cnfStyle w:val="000000010000"/>
          <w:trHeight w:val="143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1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FF0000"/>
              </w:rPr>
            </w:pPr>
            <w:r w:rsidRPr="004175B4">
              <w:rPr>
                <w:color w:val="FF0000"/>
              </w:rPr>
              <w:t>Devil’s Essay Due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2</w:t>
            </w:r>
          </w:p>
          <w:p w:rsidR="008D78BD" w:rsidRPr="004175B4" w:rsidRDefault="008D78BD" w:rsidP="008D78BD">
            <w:pPr>
              <w:jc w:val="right"/>
              <w:cnfStyle w:val="000000010000"/>
              <w:rPr>
                <w:color w:val="17365D" w:themeColor="text2" w:themeShade="BF"/>
              </w:rPr>
            </w:pPr>
            <w:r w:rsidRPr="004175B4">
              <w:rPr>
                <w:color w:val="17365D" w:themeColor="text2" w:themeShade="BF"/>
              </w:rPr>
              <w:t>Silent to the Bone Final Draft due</w:t>
            </w:r>
          </w:p>
        </w:tc>
        <w:tc>
          <w:tcPr>
            <w:tcW w:w="1882" w:type="dxa"/>
          </w:tcPr>
          <w:p w:rsidR="008D78BD" w:rsidRDefault="008D78BD" w:rsidP="008D78BD">
            <w:pPr>
              <w:jc w:val="right"/>
              <w:cnfStyle w:val="000000010000"/>
            </w:pPr>
            <w:r>
              <w:t>3</w:t>
            </w:r>
          </w:p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4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5</w:t>
            </w:r>
          </w:p>
        </w:tc>
      </w:tr>
      <w:tr w:rsidR="008D78BD" w:rsidRPr="00391B9D" w:rsidTr="008D78BD">
        <w:trPr>
          <w:cnfStyle w:val="000000100000"/>
          <w:trHeight w:val="134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7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8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9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10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11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12</w:t>
            </w:r>
          </w:p>
        </w:tc>
      </w:tr>
      <w:tr w:rsidR="008D78BD" w:rsidRPr="00391B9D" w:rsidTr="008D78BD">
        <w:trPr>
          <w:cnfStyle w:val="000000010000"/>
          <w:trHeight w:val="125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14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15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16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17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18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19</w:t>
            </w:r>
          </w:p>
        </w:tc>
      </w:tr>
      <w:tr w:rsidR="008D78BD" w:rsidRPr="00391B9D" w:rsidTr="008D78BD">
        <w:trPr>
          <w:cnfStyle w:val="000000100000"/>
          <w:trHeight w:val="143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21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22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23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24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100000"/>
            </w:pPr>
            <w:r>
              <w:t>26</w:t>
            </w:r>
          </w:p>
        </w:tc>
      </w:tr>
      <w:tr w:rsidR="008D78BD" w:rsidRPr="00391B9D" w:rsidTr="008D78BD">
        <w:trPr>
          <w:cnfStyle w:val="000000010000"/>
          <w:trHeight w:val="1790"/>
        </w:trPr>
        <w:tc>
          <w:tcPr>
            <w:cnfStyle w:val="001000000000"/>
            <w:tcW w:w="1882" w:type="dxa"/>
          </w:tcPr>
          <w:p w:rsidR="008D78BD" w:rsidRPr="00391B9D" w:rsidRDefault="008D78BD" w:rsidP="008D78BD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27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  <w:r>
              <w:t>28</w:t>
            </w: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2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  <w:tc>
          <w:tcPr>
            <w:tcW w:w="1883" w:type="dxa"/>
          </w:tcPr>
          <w:p w:rsidR="008D78BD" w:rsidRPr="00391B9D" w:rsidRDefault="008D78BD" w:rsidP="008D78BD">
            <w:pPr>
              <w:jc w:val="right"/>
              <w:cnfStyle w:val="000000010000"/>
            </w:pPr>
          </w:p>
        </w:tc>
      </w:tr>
    </w:tbl>
    <w:p w:rsidR="007D01F8" w:rsidRDefault="007D01F8"/>
    <w:sectPr w:rsidR="007D01F8" w:rsidSect="008D7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8BD"/>
    <w:rsid w:val="00200C3D"/>
    <w:rsid w:val="002846D7"/>
    <w:rsid w:val="00385B02"/>
    <w:rsid w:val="004378C6"/>
    <w:rsid w:val="00482B88"/>
    <w:rsid w:val="005A5538"/>
    <w:rsid w:val="005E65B6"/>
    <w:rsid w:val="00631565"/>
    <w:rsid w:val="007D01F8"/>
    <w:rsid w:val="008D78BD"/>
    <w:rsid w:val="00D87F5B"/>
    <w:rsid w:val="00E03FAD"/>
    <w:rsid w:val="00E04830"/>
    <w:rsid w:val="00E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8D7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8D7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8D7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8D78BD"/>
    <w:pPr>
      <w:spacing w:after="0" w:line="240" w:lineRule="auto"/>
    </w:pPr>
  </w:style>
  <w:style w:type="table" w:styleId="TableGrid">
    <w:name w:val="Table Grid"/>
    <w:basedOn w:val="TableNormal"/>
    <w:uiPriority w:val="59"/>
    <w:rsid w:val="0038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2010-12-14T19:25:00Z</dcterms:created>
  <dcterms:modified xsi:type="dcterms:W3CDTF">2010-12-14T19:25:00Z</dcterms:modified>
</cp:coreProperties>
</file>